
<file path=[Content_Types].xml><?xml version="1.0" encoding="utf-8"?>
<Types xmlns="http://schemas.openxmlformats.org/package/2006/content-types">
  <Default Extension="png" ContentType="image/png"/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40B95" w14:textId="77777777" w:rsidR="002C7EFB" w:rsidRDefault="002C7EFB" w:rsidP="00666B34">
      <w:pPr>
        <w:spacing w:line="210" w:lineRule="atLeast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</w:p>
    <w:p w14:paraId="25FDC4ED" w14:textId="15C7847A" w:rsidR="002C7EFB" w:rsidRPr="002C7EFB" w:rsidRDefault="002C7EFB" w:rsidP="002C7E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                              </w:t>
      </w:r>
      <w:r w:rsidRPr="002C7EFB">
        <w:rPr>
          <w:rFonts w:ascii="Times New Roman" w:eastAsia="Times New Roman" w:hAnsi="Times New Roman" w:cs="Times New Roman"/>
          <w:noProof/>
          <w:sz w:val="20"/>
          <w:szCs w:val="20"/>
          <w:lang w:val="sr-Latn-RS" w:eastAsia="sr-Latn-RS"/>
        </w:rPr>
        <w:drawing>
          <wp:inline distT="0" distB="0" distL="0" distR="0" wp14:anchorId="635AD62C" wp14:editId="2ED7543D">
            <wp:extent cx="294005" cy="405765"/>
            <wp:effectExtent l="0" t="0" r="0" b="0"/>
            <wp:docPr id="45" name="Picture 45" descr="Srbija mali grb za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rbija mali grb za wor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87970" w14:textId="77777777" w:rsidR="002C7EFB" w:rsidRPr="002C7EFB" w:rsidRDefault="002C7EFB" w:rsidP="002C7EF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</w:pP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 xml:space="preserve">Р Е П У Б Л И К А   С Р Б И Ј А </w:t>
      </w:r>
    </w:p>
    <w:p w14:paraId="0FD78027" w14:textId="77777777" w:rsidR="002C7EFB" w:rsidRPr="002C7EFB" w:rsidRDefault="002C7EFB" w:rsidP="002C7EF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</w:pP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          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>Основна школа</w:t>
      </w:r>
    </w:p>
    <w:p w14:paraId="595C1010" w14:textId="77777777" w:rsidR="002C7EFB" w:rsidRPr="002C7EFB" w:rsidRDefault="002C7EFB" w:rsidP="002C7EF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„РАТКО ЈОВАНОВИЋ“</w:t>
      </w:r>
    </w:p>
    <w:p w14:paraId="3BE122FC" w14:textId="13FAC41F" w:rsidR="002C7EFB" w:rsidRPr="002C7EFB" w:rsidRDefault="002C7EFB" w:rsidP="002C7EF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</w:pP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               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Бр. </w:t>
      </w:r>
      <w:r w:rsidR="00D121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108/2</w:t>
      </w:r>
    </w:p>
    <w:p w14:paraId="4707E9F9" w14:textId="150C3E95" w:rsidR="002C7EFB" w:rsidRPr="002C7EFB" w:rsidRDefault="002C7EFB" w:rsidP="002C7EF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</w:pP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         </w:t>
      </w:r>
      <w:r w:rsidR="00D12125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19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.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03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>.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 xml:space="preserve"> 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20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2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6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. год.</w:t>
      </w:r>
    </w:p>
    <w:p w14:paraId="15A7D9CA" w14:textId="77777777" w:rsidR="002C7EFB" w:rsidRPr="002C7EFB" w:rsidRDefault="002C7EFB" w:rsidP="002C7EFB">
      <w:pPr>
        <w:widowControl w:val="0"/>
        <w:autoSpaceDE w:val="0"/>
        <w:autoSpaceDN w:val="0"/>
        <w:spacing w:after="0" w:line="275" w:lineRule="exact"/>
        <w:ind w:left="-426" w:firstLine="720"/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</w:pP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</w:t>
      </w:r>
      <w:r w:rsidRPr="002C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К Р У Ш Ч И Ц А</w:t>
      </w:r>
    </w:p>
    <w:p w14:paraId="64E8A889" w14:textId="77777777" w:rsidR="002C7EFB" w:rsidRDefault="002C7EFB" w:rsidP="00666B34">
      <w:pPr>
        <w:spacing w:line="210" w:lineRule="atLeast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</w:p>
    <w:p w14:paraId="6EF5A423" w14:textId="0364D34F" w:rsidR="00B81508" w:rsidRPr="00666B34" w:rsidRDefault="002C7EFB" w:rsidP="00666B34">
      <w:pPr>
        <w:spacing w:line="210" w:lineRule="atLeast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              </w:t>
      </w:r>
      <w:proofErr w:type="gramStart"/>
      <w:r w:rsidR="00155A43" w:rsidRPr="00006E66">
        <w:rPr>
          <w:rFonts w:ascii="Times New Roman" w:eastAsia="Verdana" w:hAnsi="Times New Roman" w:cs="Times New Roman"/>
          <w:sz w:val="24"/>
          <w:szCs w:val="24"/>
        </w:rPr>
        <w:t>На основу члана 75.</w:t>
      </w:r>
      <w:proofErr w:type="gramEnd"/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ст. 2. и 4. Закона о буџетском систему („Службени гласник РС”, бр. 54/09, 73/10, 101/10, 101/11, 93/12, 62/13, 63/13 – исправка, 108/13, 142/14, 68/15 – др. закон, 103/15, 99/16, 113/17,  95/18, 31/19, 72/19, 149/20, 118/21, 118/21 – др. закон, 138/22, 92/23 и 94/24),</w:t>
      </w:r>
      <w:r w:rsidR="00666B34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Уредбе о буџетском рачуноводству </w:t>
      </w:r>
      <w:r w:rsidR="00666B34" w:rsidRPr="00006E66">
        <w:rPr>
          <w:rFonts w:ascii="Times New Roman" w:eastAsia="Verdana" w:hAnsi="Times New Roman" w:cs="Times New Roman"/>
          <w:sz w:val="24"/>
          <w:szCs w:val="24"/>
        </w:rPr>
        <w:t xml:space="preserve">(„Службени гласник РС”, бр. </w:t>
      </w:r>
      <w:r w:rsidR="00666B34">
        <w:rPr>
          <w:rFonts w:ascii="Times New Roman" w:eastAsia="Verdana" w:hAnsi="Times New Roman" w:cs="Times New Roman"/>
          <w:sz w:val="24"/>
          <w:szCs w:val="24"/>
        </w:rPr>
        <w:t>125/2003, 12/2006, 27/2020 и 3/2025</w:t>
      </w:r>
      <w:r w:rsid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), </w:t>
      </w:r>
      <w:r w:rsidR="00666B34" w:rsidRPr="00666B34">
        <w:rPr>
          <w:rFonts w:ascii="Times New Roman" w:eastAsia="Verdana" w:hAnsi="Times New Roman" w:cs="Times New Roman"/>
          <w:sz w:val="24"/>
          <w:szCs w:val="24"/>
          <w:lang w:val="sr-Cyrl-RS"/>
        </w:rPr>
        <w:t>члан</w:t>
      </w:r>
      <w:r w:rsidR="00666B34" w:rsidRPr="00F23D5D">
        <w:rPr>
          <w:rFonts w:ascii="Times New Roman" w:eastAsia="Verdana" w:hAnsi="Times New Roman" w:cs="Times New Roman"/>
          <w:sz w:val="24"/>
          <w:szCs w:val="24"/>
          <w:lang w:val="sr-Cyrl-RS"/>
        </w:rPr>
        <w:t>а</w:t>
      </w:r>
      <w:r w:rsidR="00F23D5D" w:rsidRPr="00F23D5D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48</w:t>
      </w:r>
      <w:r w:rsidR="00666B34" w:rsidRPr="00F23D5D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. Статута </w:t>
      </w:r>
      <w:r w:rsidR="00B00238" w:rsidRPr="00F23D5D">
        <w:rPr>
          <w:rFonts w:ascii="Times New Roman" w:eastAsia="Verdana" w:hAnsi="Times New Roman" w:cs="Times New Roman"/>
          <w:sz w:val="24"/>
          <w:szCs w:val="24"/>
          <w:lang w:val="sr-Cyrl-RS"/>
        </w:rPr>
        <w:t>Основне школе ,,Ратко Јовановић“ Крушчица</w:t>
      </w:r>
      <w:r w:rsidR="00666B34" w:rsidRPr="00F23D5D">
        <w:rPr>
          <w:rFonts w:ascii="Times New Roman" w:eastAsia="Verdana" w:hAnsi="Times New Roman" w:cs="Times New Roman"/>
          <w:sz w:val="24"/>
          <w:szCs w:val="24"/>
          <w:lang w:val="sr-Cyrl-RS"/>
        </w:rPr>
        <w:t>,</w:t>
      </w:r>
      <w:r w:rsidR="00666B34" w:rsidRP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  <w:r w:rsidR="00B00238">
        <w:rPr>
          <w:rFonts w:ascii="Times New Roman" w:eastAsia="Verdana" w:hAnsi="Times New Roman" w:cs="Times New Roman"/>
          <w:sz w:val="24"/>
          <w:szCs w:val="24"/>
          <w:lang w:val="sr-Cyrl-RS"/>
        </w:rPr>
        <w:t>Школски одбор</w:t>
      </w:r>
      <w:r w:rsid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  <w:r w:rsidR="00B00238">
        <w:rPr>
          <w:rFonts w:ascii="Times New Roman" w:eastAsia="Verdana" w:hAnsi="Times New Roman" w:cs="Times New Roman"/>
          <w:sz w:val="24"/>
          <w:szCs w:val="24"/>
          <w:lang w:val="sr-Cyrl-RS"/>
        </w:rPr>
        <w:t>Основне школе ,,Ратко Јовановић“ Крушчица,</w:t>
      </w:r>
      <w:r w:rsidR="00666B34" w:rsidRP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дана </w:t>
      </w:r>
      <w:r w:rsidR="00D12125">
        <w:rPr>
          <w:rFonts w:ascii="Times New Roman" w:eastAsia="Verdana" w:hAnsi="Times New Roman" w:cs="Times New Roman"/>
          <w:sz w:val="24"/>
          <w:szCs w:val="24"/>
          <w:lang w:val="sr-Cyrl-RS"/>
        </w:rPr>
        <w:t>19</w:t>
      </w:r>
      <w:r w:rsidR="00666B34" w:rsidRPr="00666B34">
        <w:rPr>
          <w:rFonts w:ascii="Times New Roman" w:eastAsia="Verdana" w:hAnsi="Times New Roman" w:cs="Times New Roman"/>
          <w:sz w:val="24"/>
          <w:szCs w:val="24"/>
          <w:lang w:val="sr-Cyrl-RS"/>
        </w:rPr>
        <w:t>.</w:t>
      </w:r>
      <w:r w:rsidR="00D12125">
        <w:rPr>
          <w:rFonts w:ascii="Times New Roman" w:eastAsia="Verdana" w:hAnsi="Times New Roman" w:cs="Times New Roman"/>
          <w:sz w:val="24"/>
          <w:szCs w:val="24"/>
          <w:lang w:val="sr-Cyrl-RS"/>
        </w:rPr>
        <w:t>03.2026.</w:t>
      </w:r>
      <w:r w:rsidR="00666B34" w:rsidRP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године доноси:</w:t>
      </w:r>
    </w:p>
    <w:p w14:paraId="765BC823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b/>
          <w:sz w:val="24"/>
          <w:szCs w:val="24"/>
        </w:rPr>
        <w:t>ПРАВИЛНИК</w:t>
      </w:r>
    </w:p>
    <w:p w14:paraId="567217FD" w14:textId="77777777" w:rsidR="00E960F0" w:rsidRDefault="00155A43">
      <w:pPr>
        <w:spacing w:line="210" w:lineRule="atLeast"/>
        <w:jc w:val="center"/>
        <w:rPr>
          <w:rFonts w:ascii="Times New Roman" w:eastAsia="Verdana" w:hAnsi="Times New Roman" w:cs="Times New Roman"/>
          <w:b/>
          <w:sz w:val="24"/>
          <w:szCs w:val="24"/>
          <w:lang w:val="sr-Cyrl-RS"/>
        </w:rPr>
      </w:pPr>
      <w:proofErr w:type="gramStart"/>
      <w:r w:rsidRPr="00006E66">
        <w:rPr>
          <w:rFonts w:ascii="Times New Roman" w:eastAsia="Verdana" w:hAnsi="Times New Roman" w:cs="Times New Roman"/>
          <w:b/>
          <w:sz w:val="24"/>
          <w:szCs w:val="24"/>
        </w:rPr>
        <w:t>о</w:t>
      </w:r>
      <w:proofErr w:type="gramEnd"/>
      <w:r w:rsidRPr="00006E66">
        <w:rPr>
          <w:rFonts w:ascii="Times New Roman" w:eastAsia="Verdana" w:hAnsi="Times New Roman" w:cs="Times New Roman"/>
          <w:b/>
          <w:sz w:val="24"/>
          <w:szCs w:val="24"/>
        </w:rPr>
        <w:t xml:space="preserve"> начину припреме, састављања и подношења финансијских извештаја </w:t>
      </w:r>
    </w:p>
    <w:p w14:paraId="3A19EF16" w14:textId="720F1AED" w:rsidR="00B81508" w:rsidRPr="00E960F0" w:rsidRDefault="00E960F0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sr-Cyrl-RS"/>
        </w:rPr>
        <w:t>Основне школе ,,Ратко Јовановић“ Крушчица</w:t>
      </w:r>
    </w:p>
    <w:p w14:paraId="0FF5E8F3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I. ОСНОВНЕ ОДРЕДБЕ</w:t>
      </w:r>
    </w:p>
    <w:p w14:paraId="67F67077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1.</w:t>
      </w:r>
    </w:p>
    <w:p w14:paraId="74457C4A" w14:textId="6C0826ED" w:rsidR="00B81508" w:rsidRPr="00006E66" w:rsidRDefault="00155A43" w:rsidP="00725F51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Овим правилником прописују се начин припреме, састављања и подношења финансијских извештаја </w:t>
      </w:r>
      <w:r w:rsidR="00B00238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Основне школе </w:t>
      </w:r>
      <w:proofErr w:type="gramStart"/>
      <w:r w:rsidR="00B00238">
        <w:rPr>
          <w:rFonts w:ascii="Times New Roman" w:eastAsia="Verdana" w:hAnsi="Times New Roman" w:cs="Times New Roman"/>
          <w:sz w:val="24"/>
          <w:szCs w:val="24"/>
          <w:lang w:val="sr-Cyrl-RS"/>
        </w:rPr>
        <w:t>,,Ратко</w:t>
      </w:r>
      <w:proofErr w:type="gramEnd"/>
      <w:r w:rsidR="00B00238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Јовановић“ Крушчица</w:t>
      </w:r>
      <w:r w:rsidR="00666B34" w:rsidRP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  <w:r w:rsidR="00725F51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(у даљем тексту </w:t>
      </w:r>
      <w:r w:rsidR="00666B34">
        <w:rPr>
          <w:rFonts w:ascii="Times New Roman" w:eastAsia="Verdana" w:hAnsi="Times New Roman" w:cs="Times New Roman"/>
          <w:sz w:val="24"/>
          <w:szCs w:val="24"/>
          <w:lang w:val="sr-Cyrl-RS"/>
        </w:rPr>
        <w:t>Установа</w:t>
      </w:r>
      <w:r w:rsidR="00725F51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)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као и садржај образаца на којима се састављају и достављају финансијски извештаји. </w:t>
      </w:r>
    </w:p>
    <w:p w14:paraId="28BE14C7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2.</w:t>
      </w:r>
    </w:p>
    <w:p w14:paraId="1F2FCD5E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Финансијски извештаји, у смислу овог правилника јесу: </w:t>
      </w:r>
    </w:p>
    <w:p w14:paraId="07E65609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1) периодични финансијски извештај; </w:t>
      </w:r>
    </w:p>
    <w:p w14:paraId="2A7F444E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2) годишњи финансијски извештај. </w:t>
      </w:r>
    </w:p>
    <w:p w14:paraId="6F6C1E2E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3.</w:t>
      </w:r>
    </w:p>
    <w:p w14:paraId="21CEAD3E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Годишњи финансијски извештај обухвата: </w:t>
      </w:r>
    </w:p>
    <w:p w14:paraId="10D8F7F9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– Извештај о новчаним токовима – Образац НТ,</w:t>
      </w:r>
    </w:p>
    <w:p w14:paraId="6EADB3C4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– Извештај о извршењу буџета – Образац ИБ,</w:t>
      </w:r>
    </w:p>
    <w:p w14:paraId="18D65BC5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– Рачуноводствене политике,</w:t>
      </w:r>
    </w:p>
    <w:p w14:paraId="728B47E4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– Напомене са објашњењима,</w:t>
      </w:r>
    </w:p>
    <w:p w14:paraId="6451DFED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– Образложења уз годишњи извештај о извршењу буџета.</w:t>
      </w:r>
    </w:p>
    <w:p w14:paraId="340868BB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Напомене са објашњењима садрже следеће:</w:t>
      </w:r>
    </w:p>
    <w:p w14:paraId="41A69B69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1) опште информације о подносиоцу извештаја;</w:t>
      </w:r>
    </w:p>
    <w:p w14:paraId="2FA4DDF1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2) рачуноводствену основу која је коришћена за састављање Извештаја о новчаним токовима и основу која је коришћена за састављање Извештаја о извршењу буџета;</w:t>
      </w:r>
    </w:p>
    <w:p w14:paraId="62E33560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lastRenderedPageBreak/>
        <w:t>3) информације о стању готовине и готовинских еквивалената на почетку и крају извештајног периода;</w:t>
      </w:r>
    </w:p>
    <w:p w14:paraId="41838103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4) датум одобравања финансијских извештаја за објављивање;</w:t>
      </w:r>
    </w:p>
    <w:p w14:paraId="6CF92176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5) информације о готовини која се налази на рачунима подносилаца извештаја, али није расположива за коришћење или подлеже ограничењима за коришћење, као и информације о неискоришћеним позајмицама;</w:t>
      </w:r>
    </w:p>
    <w:p w14:paraId="2C858FC0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6) Биланс стања – Образац БС;</w:t>
      </w:r>
    </w:p>
    <w:p w14:paraId="1AE8712C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7) Биланс прихода и расхода – Образац ПР;</w:t>
      </w:r>
    </w:p>
    <w:p w14:paraId="624A7634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8) усклађивање прихода и примања и расхода и издатака из Извештаја о извршењу буџета – Образац ИБ и прилива и одлива из Извештаја о новчаним токовима – Образац НТ;</w:t>
      </w:r>
    </w:p>
    <w:p w14:paraId="5DA5A532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9) додатне информације које нису приказане у финансијским извештајима, али су неопходне за фер презентацију прилива и одлива готовине и салда готовине.</w:t>
      </w:r>
    </w:p>
    <w:p w14:paraId="36BF561E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Образложења уз годишњи извештај о извршењу буџета обухватају:</w:t>
      </w:r>
    </w:p>
    <w:p w14:paraId="65578667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1) образложење одступања између одобрених средстава и извршења;</w:t>
      </w:r>
    </w:p>
    <w:p w14:paraId="69CBFE86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2) извештај о коришћењу средстава из текуће и сталне буџетске резерве;</w:t>
      </w:r>
    </w:p>
    <w:p w14:paraId="51F0441A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3) извештај о гаранцијама датим у току фискалне године;</w:t>
      </w:r>
    </w:p>
    <w:p w14:paraId="09718918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4) извештај о примљеним донацијама и задужењу на домаћем и страном тржишту новца и капитала и извршеним отплатама дугова;</w:t>
      </w:r>
    </w:p>
    <w:p w14:paraId="63A5038E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5) извештај о реализацији укупних средстава буџета по корисницима, програмима, пројектима, функцијама, економским класификацијама и изворима, који се односи на ниво буџета Републике Србије, односно локалне власти.</w:t>
      </w:r>
    </w:p>
    <w:p w14:paraId="4C86545F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Обрасци који се користе за састављање годишњег финансијског извештаја, напомена са објашњењима су:</w:t>
      </w:r>
    </w:p>
    <w:p w14:paraId="585FAF08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1) Извештај о новчаним токовима – Образац НТ;</w:t>
      </w:r>
    </w:p>
    <w:p w14:paraId="69CA9CAC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2) Извештај о извршењу буџета – Образац ИБ;</w:t>
      </w:r>
    </w:p>
    <w:p w14:paraId="1CE9595D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3) Биланс стања – Образац БС;</w:t>
      </w:r>
    </w:p>
    <w:p w14:paraId="3F160752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4) Биланс прихода и расхода – Образац ПР.</w:t>
      </w:r>
    </w:p>
    <w:p w14:paraId="4B23BA04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Обрасци из става 4. овог члана одштампани су уз овај правилник и чине његов саставни део.  </w:t>
      </w:r>
    </w:p>
    <w:p w14:paraId="34A41481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b/>
          <w:sz w:val="24"/>
          <w:szCs w:val="24"/>
        </w:rPr>
        <w:t>Периодични финансијски извештаји</w:t>
      </w:r>
    </w:p>
    <w:p w14:paraId="15B365AB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4.</w:t>
      </w:r>
    </w:p>
    <w:p w14:paraId="1E500B91" w14:textId="77777777" w:rsidR="00B81508" w:rsidRPr="00006E66" w:rsidRDefault="00155A43" w:rsidP="000B3D1E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Периодични финансијски извештаји су тромесечни (квартални) финансијски извештаји који се сачињавају на Обрасцу ИБ – Извештај о извршењу буџета.</w:t>
      </w:r>
    </w:p>
    <w:p w14:paraId="7FD88739" w14:textId="06F13D34" w:rsidR="00B81508" w:rsidRPr="00006E66" w:rsidRDefault="00666B34" w:rsidP="000B3D1E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Установа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саставља периодичне финансијске извештаје о извршењу буџета и доставља </w:t>
      </w:r>
      <w:r w:rsidR="00725F51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их директном кориснику</w:t>
      </w:r>
      <w:r w:rsidR="000B3D1E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(Управи за културу)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у року од десет дана од дана истека тромесечја, за потребе планирања и контроле извршења буџета.</w:t>
      </w:r>
    </w:p>
    <w:p w14:paraId="30C895D6" w14:textId="7D1F4BAE" w:rsidR="00B81508" w:rsidRPr="00006E66" w:rsidRDefault="00155A43" w:rsidP="000B3D1E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Финансијске извештаје из става 2. овог члана </w:t>
      </w:r>
      <w:r w:rsidR="00725F51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директни корисник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усклађују са подацима садржаним у главној књизи трезора и подацима из својих евиденција, врше консолидацију података и достављају органу управе надлежном за послове финансија, у року од 20 дана од дана истека тромесечја.</w:t>
      </w:r>
    </w:p>
    <w:p w14:paraId="313F9E1A" w14:textId="77777777" w:rsidR="005D65DF" w:rsidRDefault="005D65DF">
      <w:pPr>
        <w:spacing w:line="210" w:lineRule="atLeast"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</w:p>
    <w:p w14:paraId="721D27CF" w14:textId="77777777" w:rsidR="005D65DF" w:rsidRDefault="005D65DF">
      <w:pPr>
        <w:spacing w:line="210" w:lineRule="atLeast"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</w:p>
    <w:p w14:paraId="37E04FB0" w14:textId="77777777" w:rsidR="005D65DF" w:rsidRDefault="005D65DF">
      <w:pPr>
        <w:spacing w:line="210" w:lineRule="atLeast"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</w:p>
    <w:p w14:paraId="275F458C" w14:textId="638D1EB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b/>
          <w:sz w:val="24"/>
          <w:szCs w:val="24"/>
        </w:rPr>
        <w:t>Годишњи финансијски извештаји</w:t>
      </w:r>
    </w:p>
    <w:p w14:paraId="0CFBC1A9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5.</w:t>
      </w:r>
    </w:p>
    <w:p w14:paraId="228B39F3" w14:textId="41341958" w:rsidR="00B81508" w:rsidRPr="00006E66" w:rsidRDefault="00666B34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Установа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своје финансијско пословање обавља преко својих подрачуна</w:t>
      </w:r>
      <w:r w:rsidR="005D65DF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5D65DF">
        <w:rPr>
          <w:rFonts w:ascii="Times New Roman" w:eastAsia="Verdana" w:hAnsi="Times New Roman" w:cs="Times New Roman"/>
          <w:sz w:val="24"/>
          <w:szCs w:val="24"/>
          <w:lang w:val="sr-Cyrl-RS"/>
        </w:rPr>
        <w:t>и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саставља</w:t>
      </w:r>
      <w:r w:rsidR="005D65DF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>годишње финансијске извештаје који обухватају:</w:t>
      </w:r>
    </w:p>
    <w:p w14:paraId="523AE722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1) Извештај о новчаним токовима – Образац НТ,</w:t>
      </w:r>
    </w:p>
    <w:p w14:paraId="38C1E49C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2) Извештај о извршењу буџета – Образац ИБ,</w:t>
      </w:r>
    </w:p>
    <w:p w14:paraId="016C05AC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3) Биланс стања – Образац БС, као део напомена,</w:t>
      </w:r>
    </w:p>
    <w:p w14:paraId="28225886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4) Биланс прихода и расхода – Образац ПР, као део напомена,</w:t>
      </w:r>
    </w:p>
    <w:p w14:paraId="48AAD9A2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5) Напомене са објашњењима,</w:t>
      </w:r>
    </w:p>
    <w:p w14:paraId="5D6BEFBB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6) Образложења уз годишњи извештај о извршењу буџета.</w:t>
      </w:r>
    </w:p>
    <w:p w14:paraId="10D8D338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Извештаји из става 1. овог члана се достављају на обрасцима из члана 3. став 4. овог правилника.</w:t>
      </w:r>
    </w:p>
    <w:p w14:paraId="692BCF9A" w14:textId="2EAF94CB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Члан </w:t>
      </w:r>
      <w:r w:rsidR="00A540A5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6</w:t>
      </w:r>
      <w:r w:rsidRPr="00006E66">
        <w:rPr>
          <w:rFonts w:ascii="Times New Roman" w:eastAsia="Verdana" w:hAnsi="Times New Roman" w:cs="Times New Roman"/>
          <w:sz w:val="24"/>
          <w:szCs w:val="24"/>
        </w:rPr>
        <w:t>.</w:t>
      </w:r>
    </w:p>
    <w:p w14:paraId="50C832FE" w14:textId="1D0FFEE6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Завршни рачун </w:t>
      </w:r>
      <w:r w:rsidR="00666B34">
        <w:rPr>
          <w:rFonts w:ascii="Times New Roman" w:eastAsia="Verdana" w:hAnsi="Times New Roman" w:cs="Times New Roman"/>
          <w:sz w:val="24"/>
          <w:szCs w:val="24"/>
          <w:lang w:val="sr-Cyrl-RS"/>
        </w:rPr>
        <w:t>Установе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садржи годишњи финансијски извештај о извршењу буџета, односно о извршењу плана, који обухвата:</w:t>
      </w:r>
    </w:p>
    <w:p w14:paraId="2B591144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1) Извештај о новчаним токовима – Образац НТ,</w:t>
      </w:r>
    </w:p>
    <w:p w14:paraId="12F83320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2) Извештај о извршењу буџета – Образац ИБ,</w:t>
      </w:r>
    </w:p>
    <w:p w14:paraId="56CE08CC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3) Биланс стања – Образац БС, као део напомена,</w:t>
      </w:r>
    </w:p>
    <w:p w14:paraId="39346076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4) Биланс прихода и расхода – Образац ПР, као део напомена,</w:t>
      </w:r>
    </w:p>
    <w:p w14:paraId="3320F169" w14:textId="6DA1A623" w:rsidR="00B81508" w:rsidRPr="00006E66" w:rsidRDefault="005D65DF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5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) Напомене са објашњењима, </w:t>
      </w:r>
    </w:p>
    <w:p w14:paraId="11DA0936" w14:textId="6778D36A" w:rsidR="00B81508" w:rsidRPr="00006E66" w:rsidRDefault="005D65DF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6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>) Образложења уз годишњи извештај о извршењу буџета и</w:t>
      </w:r>
    </w:p>
    <w:p w14:paraId="3D53C658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Извештаји из става 1. овог члана се достављају на обрасцима из члана 3. став 4. овог правилника.</w:t>
      </w:r>
    </w:p>
    <w:p w14:paraId="6C81DA1D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II. ПРИПРЕМА, САСТАВЉАЊЕ И ПОДНОШЕЊЕ ФИНАНСИЈСКИХ ИЗВЕШТАЈА</w:t>
      </w:r>
    </w:p>
    <w:p w14:paraId="4C998B7C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b/>
          <w:sz w:val="24"/>
          <w:szCs w:val="24"/>
        </w:rPr>
        <w:t>1. Припрема финансијских извештаја</w:t>
      </w:r>
    </w:p>
    <w:p w14:paraId="3989051D" w14:textId="1B8320AE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Члан </w:t>
      </w:r>
      <w:r w:rsidR="00CF755A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7</w:t>
      </w:r>
      <w:r w:rsidRPr="00006E66">
        <w:rPr>
          <w:rFonts w:ascii="Times New Roman" w:eastAsia="Verdana" w:hAnsi="Times New Roman" w:cs="Times New Roman"/>
          <w:sz w:val="24"/>
          <w:szCs w:val="24"/>
        </w:rPr>
        <w:t>.</w:t>
      </w:r>
    </w:p>
    <w:p w14:paraId="5896070B" w14:textId="10896D35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Финансијски извештаји припремају се на принципима готовинске основе у складу са одредбама Закона о буџетском систему (у даљем тексту: Закон) и Уредбе о буџетском рачуноводству („Службени гласник РС”, бр. 125/03, 12/06 и 27/20 – у даљем тексту: Уредба). </w:t>
      </w:r>
    </w:p>
    <w:p w14:paraId="243557E5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поступку припреме финансијских извештаја на готовинској основи потребно је извршити следећа књижења, и то за: </w:t>
      </w:r>
    </w:p>
    <w:p w14:paraId="2D79A66A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1) наплаћене приходе у извештајном периоду, који се односе на наредни извештајни период, а књижени су на одговарајућим субаналитичким контима синтетичког конта 291100 – Разграничени приходи и примања, тако што се преносе на одговарајући субаналитички конто класе 700000 – Текући приходи, а што утиче на резултат </w:t>
      </w:r>
      <w:r w:rsidRPr="00006E66">
        <w:rPr>
          <w:rFonts w:ascii="Times New Roman" w:eastAsia="Verdana" w:hAnsi="Times New Roman" w:cs="Times New Roman"/>
          <w:sz w:val="24"/>
          <w:szCs w:val="24"/>
        </w:rPr>
        <w:lastRenderedPageBreak/>
        <w:t xml:space="preserve">пословања, који је исказан у Обрасцу ПР на ознаци за обраду података (у даљем тексту: ОП) број 2357 или ОП број 2358;  </w:t>
      </w:r>
    </w:p>
    <w:p w14:paraId="2EF1E928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2) неискоришћена средства донација, хуманитарне помоћи и финансијске помоћи Европске уније у девизама која чине салдо девизних рачуна примаоца донације на дан 31. децембра, односно извештајни датум књиже се на одговарајућим субаналитичким контима у оквиру синтетичког конта 121400 – Девизни рачун, уз одобрење одговарајућег субаналитичког конта у оквиру синтетичког конта 291100 – Разграничени приходи и примања и не утичу на резултат пословања извештајног периода, већ се исказују у финансијским извештајима у Обрасцу БС и Обрасцу НТ. У Обрасцу БС исказују се на ОП 1054, као и на ОП 1214. У Обрасцу НТ неискоришћена средства донација, помоћи, хуманитарне помоћи и финансијске помоћи ЕУ у девизама која су прилив извештајног периода додају се на одговарајуће износе прилива исказане на одговарајућим синтетичким контима категорије 730000 – Приливи од донација, помоћи и трансфера.</w:t>
      </w:r>
    </w:p>
    <w:p w14:paraId="118A634C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3) плаћене авансе за набавку материјала и куповину услуга, који су књижени на одговарајућем субаналитичком конту синтетичког конта 123200 – Дати аванси, депозити и кауције, тако што се прокњиже и на одговарајући субаналитички конто класе 400000 – Текући расходи, уз одобрење конта 291211 – Плаћени аванси за набавку материјала, односно конта 291213 – Плаћени аванси за куповину услуга; </w:t>
      </w:r>
    </w:p>
    <w:p w14:paraId="05102431" w14:textId="77777777" w:rsidR="00B81508" w:rsidRPr="00006E66" w:rsidRDefault="00155A43" w:rsidP="005D65DF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4) исплаћене аконтације за пословна путовања исказане као потраживања на субаналитичком конту 122141 – Аконтације за службено путовање у земљи, односно конту 122142 – Аконтације за службено путовање у иностранство, тако што се прокњиже и на одговарајућа субаналитичка конта класе 400000 – Текући расходи, уз одобрење конта 291221 – Аконтације за пословна путовања; </w:t>
      </w:r>
    </w:p>
    <w:p w14:paraId="57492D83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5) унапред плаћени расходи за наредни извештајни период, из средстава прихода извештајног периода, који су књижени на субаналитичким контима категорије 130000 – Активна временска разграничења, тако што се прокњиже и на одговарајућа субаналитичка конта класе 400000 – Текући расходи, уз одобрење одговарајућих субаналитичких конта категорије 130000 – Активна временска разграничења; </w:t>
      </w:r>
    </w:p>
    <w:p w14:paraId="2D63DFE5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6) обавеза настала у извештајном периоду, а која ће захтевати исплату у наредном извештајном периоду, књижи се одобрењем субаналитичких конта класе 200000 – Обавезе и задужењем субаналитичких конта категорије 130000 – Активна временска разграничења. Наведени расход/издатак утицаће на резултат у извештајном периоду у којој ће плаћање бити извршено и тада ће теретити апропријације класе 400000 – Текући расходи или класе 500000 – Издаци за нефинансијску имовину; </w:t>
      </w:r>
    </w:p>
    <w:p w14:paraId="6B911DD8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7) износ извршене исплате који је књижен на конту 015200 – Аванси за нефинансијску имовину, када се имовина набавља из прихода извештајног периода (текућих прихода), тако што се задужује одговарајући субаналитички конто у оквиру класе 500000 – Издаци за нефинансијску имовину, уз одобрење субаналитичког конта 311151 – Нефинансијска имовина у припреми. </w:t>
      </w:r>
    </w:p>
    <w:p w14:paraId="3932D683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b/>
          <w:sz w:val="24"/>
          <w:szCs w:val="24"/>
        </w:rPr>
        <w:t>2. Састављање образаца</w:t>
      </w:r>
    </w:p>
    <w:p w14:paraId="6E5C40EB" w14:textId="0314FEAF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Члан </w:t>
      </w:r>
      <w:r w:rsidR="00CF755A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8</w:t>
      </w:r>
      <w:r w:rsidRPr="00006E66">
        <w:rPr>
          <w:rFonts w:ascii="Times New Roman" w:eastAsia="Verdana" w:hAnsi="Times New Roman" w:cs="Times New Roman"/>
          <w:sz w:val="24"/>
          <w:szCs w:val="24"/>
        </w:rPr>
        <w:t>.</w:t>
      </w:r>
    </w:p>
    <w:p w14:paraId="643375B3" w14:textId="77777777" w:rsidR="00B81508" w:rsidRPr="00006E66" w:rsidRDefault="00155A43" w:rsidP="009B1E3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Образац НТ – Извештај о новчаним токовима представаља преглед прилива и одлива готовине и готовинских еквивалената, као и стање готовине на почетку и крају извештајног периода. Приливи и одливи готовине класификују се на приливе и одливе готовине из пословних, инвестиционих и финансијских активности. </w:t>
      </w:r>
    </w:p>
    <w:p w14:paraId="25373776" w14:textId="77777777" w:rsidR="00B81508" w:rsidRPr="00006E66" w:rsidRDefault="00155A43" w:rsidP="009B1E3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lastRenderedPageBreak/>
        <w:t xml:space="preserve">Приливи из пословне активности обухватају наплаћене текуће приходе у извештајном периоду док одливи из пословне активности обухватају плаћене текуће расходе у извештајном периоду. </w:t>
      </w:r>
    </w:p>
    <w:p w14:paraId="52575EC4" w14:textId="77777777" w:rsidR="00B81508" w:rsidRPr="00006E66" w:rsidRDefault="00155A43" w:rsidP="009B1E3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Приливи готовине из активности инвестирања представљају приливе остварене продајом нефинансијске и финансијске имовине док одливи готовине из активности инвестирања представљају извршене издатке за набавку нефинансијске и финансијске имовине.</w:t>
      </w:r>
    </w:p>
    <w:p w14:paraId="7CDB682E" w14:textId="77777777" w:rsidR="00B81508" w:rsidRPr="00006E66" w:rsidRDefault="00155A43" w:rsidP="009B1E3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Приливи готовине из активности финансирања су приливи од домаћег и иностраног задуживања док су одливи из активности финансирања извршени </w:t>
      </w:r>
      <w:proofErr w:type="gramStart"/>
      <w:r w:rsidRPr="00006E66">
        <w:rPr>
          <w:rFonts w:ascii="Times New Roman" w:eastAsia="Verdana" w:hAnsi="Times New Roman" w:cs="Times New Roman"/>
          <w:sz w:val="24"/>
          <w:szCs w:val="24"/>
        </w:rPr>
        <w:t>издаци  по</w:t>
      </w:r>
      <w:proofErr w:type="gramEnd"/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основу плаћања главнице кредита, гаранција и финансијског лизинга.</w:t>
      </w:r>
    </w:p>
    <w:p w14:paraId="0838AAE5" w14:textId="77777777" w:rsidR="00B81508" w:rsidRPr="00006E66" w:rsidRDefault="00155A43" w:rsidP="009B1E3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Oбразац НТ – Извештај о новчаним токовима уносе се подаци у колоне 5 и 6, према броју конта из колоне 2, односно према опису из колоне 3. Разграничени приходи и примања исказани на </w:t>
      </w:r>
      <w:proofErr w:type="gramStart"/>
      <w:r w:rsidRPr="00006E66">
        <w:rPr>
          <w:rFonts w:ascii="Times New Roman" w:eastAsia="Verdana" w:hAnsi="Times New Roman" w:cs="Times New Roman"/>
          <w:sz w:val="24"/>
          <w:szCs w:val="24"/>
        </w:rPr>
        <w:t>синтетичком  конту</w:t>
      </w:r>
      <w:proofErr w:type="gramEnd"/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291100 –  Разграничени приходи и примања који се односе на наплаћене приходе и примања који припадају наредном извештајном периоду, увећавају приливе готовине. Плаћени расходи и издаци исказани на синтетичком конту 131100 – Разграничени расходи до једне године који се односе на плаћене расходе који припадају наредном извештајном периоду, увећавају одливе готовине.</w:t>
      </w:r>
    </w:p>
    <w:p w14:paraId="0100C22D" w14:textId="77777777" w:rsidR="00B81508" w:rsidRPr="00006E66" w:rsidRDefault="00155A43" w:rsidP="009B1E3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Приливи и одливи који утичу на салдо готовине и готовинских еквивалената, а нису евидентирани на економским класификацијама прихода и примања, односно расхода и издатака приказују се на одговарајућим позицијама у Обрасцу НТ – Извештај о новчаним токовима. Подаци се уносе са одговарајућих конта означених у колони 2, тако што се у колону 5 уносе подаци са одговарајућих конта из претходног извештајног периода, а у колону 6 подаци са конта из књиговодствене евиденције о оствареним приходима и примањима и извршеним расходима и издацима на крају периода за који се извештај саставља.</w:t>
      </w:r>
    </w:p>
    <w:p w14:paraId="1525E78E" w14:textId="392F6E42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Члан </w:t>
      </w:r>
      <w:r w:rsidR="009B1E30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9</w:t>
      </w:r>
      <w:r w:rsidRPr="00006E66">
        <w:rPr>
          <w:rFonts w:ascii="Times New Roman" w:eastAsia="Verdana" w:hAnsi="Times New Roman" w:cs="Times New Roman"/>
          <w:sz w:val="24"/>
          <w:szCs w:val="24"/>
        </w:rPr>
        <w:t>.</w:t>
      </w:r>
    </w:p>
    <w:p w14:paraId="6A30F6B2" w14:textId="77777777" w:rsidR="00B81508" w:rsidRPr="00006E66" w:rsidRDefault="00155A43" w:rsidP="009E56C2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Образац ИБ – Извештај о извршењу буџета представља упоредни преглед планираних и остварених прихода и примања, расхода и издатака, у извештајном периоду исказаних по изворима финансирања. </w:t>
      </w:r>
    </w:p>
    <w:p w14:paraId="7374F446" w14:textId="77777777" w:rsidR="00B81508" w:rsidRPr="00006E66" w:rsidRDefault="00155A43" w:rsidP="009E56C2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</w:t>
      </w:r>
      <w:proofErr w:type="gramStart"/>
      <w:r w:rsidRPr="00006E66">
        <w:rPr>
          <w:rFonts w:ascii="Times New Roman" w:eastAsia="Verdana" w:hAnsi="Times New Roman" w:cs="Times New Roman"/>
          <w:sz w:val="24"/>
          <w:szCs w:val="24"/>
        </w:rPr>
        <w:t>Образац  ИБ</w:t>
      </w:r>
      <w:proofErr w:type="gramEnd"/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– Извештај о извршењу буџета уносе се подаци у колоне 4 – 11, према броју конта из колоне 2, односно према опису из колоне 3. </w:t>
      </w:r>
    </w:p>
    <w:p w14:paraId="68CC0F46" w14:textId="77777777" w:rsidR="00B81508" w:rsidRPr="00006E66" w:rsidRDefault="00155A43" w:rsidP="009E56C2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колону 4 уносе се планирани приходи и примања, као и расходи и издаци у висини текуће апропријације. </w:t>
      </w:r>
    </w:p>
    <w:p w14:paraId="7772D55B" w14:textId="77777777" w:rsidR="00B81508" w:rsidRPr="00006E66" w:rsidRDefault="00155A43" w:rsidP="009E56C2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колону 5 уноси се износ укупно остварених прихода – примања, односно извршених расхода – издатака и представља збир износа из колона 6, 7, 8, 9, 10 и 11. </w:t>
      </w:r>
    </w:p>
    <w:p w14:paraId="0B6FF79A" w14:textId="77777777" w:rsidR="00B81508" w:rsidRPr="00EE04AC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04AC">
        <w:rPr>
          <w:rFonts w:ascii="Times New Roman" w:eastAsia="Verdana" w:hAnsi="Times New Roman" w:cs="Times New Roman"/>
          <w:sz w:val="24"/>
          <w:szCs w:val="24"/>
        </w:rPr>
        <w:t xml:space="preserve">У колону 6 ентитети који су корисници средстава буџета Републике Србије, као и ООСО уносе износ укупно остварених прихода и примања, односно извршених расхода и издатака извора 01 и извора 02, а ентитети који су корисници средстава буџета који не припадају буџету Републике Србије, уносе износ укупно остварених прихода и примања, односно извршених расхода и издатака извора 07 за средства примљена из буџета Републике Србије, као и износ извршених расхода и издатака извора 17 која потичу из буџета Републике Србије. </w:t>
      </w:r>
    </w:p>
    <w:p w14:paraId="617A8604" w14:textId="77777777" w:rsidR="00B81508" w:rsidRPr="00EE04AC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04AC">
        <w:rPr>
          <w:rFonts w:ascii="Times New Roman" w:eastAsia="Verdana" w:hAnsi="Times New Roman" w:cs="Times New Roman"/>
          <w:sz w:val="24"/>
          <w:szCs w:val="24"/>
        </w:rPr>
        <w:t xml:space="preserve">У колону 7 ентитети који су корисници средстава буџета аутономних покрајина уносе износ укупно остварених прихода и примања, односно извршених расхода и издатака извора 01 и извора 02, а ентитети који су корисници средстава буџета који не припадају буџету аутономних покрајина, уносе износ укупно остварених прихода и примања, односно извршених расхода и издатака извора 07 за средства примљена из </w:t>
      </w:r>
      <w:r w:rsidRPr="00EE04AC">
        <w:rPr>
          <w:rFonts w:ascii="Times New Roman" w:eastAsia="Verdana" w:hAnsi="Times New Roman" w:cs="Times New Roman"/>
          <w:sz w:val="24"/>
          <w:szCs w:val="24"/>
        </w:rPr>
        <w:lastRenderedPageBreak/>
        <w:t xml:space="preserve">буџета аутономних покрајина, као и износ извршених расхода и издатака извора 17 која потичу из буџета аутономних покрајина. </w:t>
      </w:r>
    </w:p>
    <w:p w14:paraId="347434B3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EE04AC">
        <w:rPr>
          <w:rFonts w:ascii="Times New Roman" w:eastAsia="Verdana" w:hAnsi="Times New Roman" w:cs="Times New Roman"/>
          <w:sz w:val="24"/>
          <w:szCs w:val="24"/>
        </w:rPr>
        <w:t>У колону 8 ентитети који су корисници средстава буџета општине/града уносе износ укупно остварених прихода и примања, односно извршених расхода и издатака извора 01 и извора 02, а ентитети који су корисници средстава буџета који не припадају буџету општине/града, уносе износ укупно остварених прихода и примања, односно извршених расхода и издатака извора 07 за средства примљена из буџета општине/града, као и износ извршених расхода и издатака извора 17 која потичу из буџета општине/града.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69168A6C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колону 9 уноси се износ остварених прихода и примања, односно извршених расхода и издатака извора 03. </w:t>
      </w:r>
    </w:p>
    <w:p w14:paraId="20C9317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колону 10 уноси се износ остварених прихода и примања извора 05, 06, 08 и 56, односно извршених расхода и издатака извора 05, 06, 08, 15 и 56. </w:t>
      </w:r>
    </w:p>
    <w:p w14:paraId="617A9E94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колону 11 уноси се износ остварених прихода и примања извора 04, 09, 10, 11, 12 и 16, односно извршених расхода и издатака извора 04, 09, 10, 11, 12, 13, 14, 16 и 18. </w:t>
      </w:r>
    </w:p>
    <w:p w14:paraId="38228E80" w14:textId="77777777" w:rsidR="00B81508" w:rsidRPr="00006E66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04AC">
        <w:rPr>
          <w:rFonts w:ascii="Times New Roman" w:eastAsia="Verdana" w:hAnsi="Times New Roman" w:cs="Times New Roman"/>
          <w:sz w:val="24"/>
          <w:szCs w:val="24"/>
        </w:rPr>
        <w:t>Ентитети који трансакције по основу програмских и пројектних зајмова обављају преко пословних банака, примања, расходе и издатке по овом основу евидентирају у Обрасцу ИБ у колони 11.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20C18C35" w14:textId="77777777" w:rsidR="00B81508" w:rsidRPr="00006E66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делу I – Укупни приходи и примања, у колонама 6, 7, 8, 9, 10 и 11 садржани су подаци о оствареним приходима и примањима по изворима финансирања.  </w:t>
      </w:r>
    </w:p>
    <w:p w14:paraId="3C2CA093" w14:textId="77777777" w:rsidR="00B81508" w:rsidRPr="00006E66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делу II – Укупни расходи и издаци, у колонама 6, 7, 8, 9, 10 и 11 садржани су подаци о коришћењу средстава по изворима финансирања. </w:t>
      </w:r>
    </w:p>
    <w:p w14:paraId="171900A5" w14:textId="77777777" w:rsidR="00B81508" w:rsidRPr="00006E66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делу III – Утврђивање резултата, утврђује се укупан резултат пословања и резултат по изворима финансирања, као разлика између укупних прихода и примања и укупних расхода и издатака. </w:t>
      </w:r>
    </w:p>
    <w:p w14:paraId="353A7A3B" w14:textId="77777777" w:rsidR="00B81508" w:rsidRPr="00006E66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Резултат пословања исказује се на ознаци ОП број 5438 као вишак прихода и примања – буџетски суфицит и на ознаци ОП број 5439 као мањак прихода и примања – буџетски дефицит. Вишак прихода и примања, односно мањак прихода и примања утврђује се као разлика између остварених прихода и примања од продаје нефинансијске имовине извештајног периода који су исказани на ознаци ОП број 5436 и расхода и издатака за нефинансијску имовину извештајног периода који су исказани на ознаци ОП број 5437. </w:t>
      </w:r>
    </w:p>
    <w:p w14:paraId="1F6FFD6E" w14:textId="77777777" w:rsidR="00B81508" w:rsidRPr="00006E66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Вишак примања исказује се на ознаци ОП број 5442, односно мањак примања на ознаци ОП број 5443 и утврђује се као разлика између примања од задуживања и продаје финансијске имовине који су исказани на ознаци ОП број 5440 и издатака за отплату главнице и набавку финансијске имовине који су исказани на ознаци ОП број 5441. </w:t>
      </w:r>
    </w:p>
    <w:p w14:paraId="265A3031" w14:textId="77777777" w:rsidR="00B81508" w:rsidRPr="00006E66" w:rsidRDefault="00155A43" w:rsidP="00EE04A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Вишак новчаних прилива исказује се на ознаци ОП број 5444, односно мањак новчаних прилива на ознаци ОП број 5445 и утврђује се као разлика између укупно остварених прихода и примања који су исказани на ознаци ОП број 5171 и укупних расхода и издатака који су исказани на ознаци ОП број 5435. </w:t>
      </w:r>
    </w:p>
    <w:p w14:paraId="6CF7895C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Матични и контролисани ентитети који су корисници средстава буџета Републике Србије који имају програмски део буџета, попуњавају и достављају Извештај о извршењу буџета – Образац ИБ за сваки пројекат појединачно. </w:t>
      </w:r>
    </w:p>
    <w:p w14:paraId="6F5D8C26" w14:textId="24A27246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1</w:t>
      </w:r>
      <w:r w:rsidR="009E56C2">
        <w:rPr>
          <w:rFonts w:ascii="Times New Roman" w:eastAsia="Verdana" w:hAnsi="Times New Roman" w:cs="Times New Roman"/>
          <w:sz w:val="24"/>
          <w:szCs w:val="24"/>
          <w:lang w:val="sr-Cyrl-RS"/>
        </w:rPr>
        <w:t>0</w:t>
      </w:r>
      <w:r w:rsidRPr="00006E66">
        <w:rPr>
          <w:rFonts w:ascii="Times New Roman" w:eastAsia="Verdana" w:hAnsi="Times New Roman" w:cs="Times New Roman"/>
          <w:sz w:val="24"/>
          <w:szCs w:val="24"/>
        </w:rPr>
        <w:t>.</w:t>
      </w:r>
    </w:p>
    <w:p w14:paraId="72D68636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lastRenderedPageBreak/>
        <w:t xml:space="preserve">Образац БС – Биланс стања представља преглед имовине, обавеза и капитала на одређени дан. </w:t>
      </w:r>
    </w:p>
    <w:p w14:paraId="2AE7C1ED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Oбразац БС – Биланс стања уносе се подаци у колоне 4 – 7, према броју конта из колоне 2, односно према опису из колоне 3. </w:t>
      </w:r>
    </w:p>
    <w:p w14:paraId="180761C3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колону 4 уносе се подаци са одговарајућих конта активе и пасиве из претходног извештајног периода (почетно стање).  </w:t>
      </w:r>
    </w:p>
    <w:p w14:paraId="6E3E464F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Подаци за текућу годину, односно за извештајни период за који се саставља образац, уносе се у колоне 5 и 6 активе и колону 5 пасиве, преузимањем стања са конта на крају периода за који се финансијски извештај саставља.  </w:t>
      </w:r>
    </w:p>
    <w:p w14:paraId="661C480C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Подаци у колони 7 утврђују се одузимањем износа у колони 6 од износа у колони 5. </w:t>
      </w:r>
    </w:p>
    <w:p w14:paraId="6604DE3B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Под ознаком ОП број 1229 уноси се износ вишка прихода и примања – суфицит који је исказан у Обрасцу 2 – Биланс прихода и расхода на ознаци ОП број 2357. </w:t>
      </w:r>
    </w:p>
    <w:p w14:paraId="63CE7086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Под ознаком ОП број 1230 уноси се износ мањка прихода и примања – дефицит који је исказан у Обрасцу 2 – Биланс прихода и расхода на ознаци ОП број 2358.</w:t>
      </w:r>
    </w:p>
    <w:p w14:paraId="01BF9E86" w14:textId="28A74BF3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1</w:t>
      </w:r>
      <w:r w:rsidR="009E56C2">
        <w:rPr>
          <w:rFonts w:ascii="Times New Roman" w:eastAsia="Verdana" w:hAnsi="Times New Roman" w:cs="Times New Roman"/>
          <w:sz w:val="24"/>
          <w:szCs w:val="24"/>
          <w:lang w:val="sr-Cyrl-RS"/>
        </w:rPr>
        <w:t>1</w:t>
      </w:r>
      <w:r w:rsidRPr="00006E66">
        <w:rPr>
          <w:rFonts w:ascii="Times New Roman" w:eastAsia="Verdana" w:hAnsi="Times New Roman" w:cs="Times New Roman"/>
          <w:sz w:val="24"/>
          <w:szCs w:val="24"/>
        </w:rPr>
        <w:t>.</w:t>
      </w:r>
    </w:p>
    <w:p w14:paraId="2F3125FD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Образац ПР – Биланс прихода и расхода представља преглед прихода и примања од продаје нефинансијске имовине и расхода и издатака за набавку нефинансијске имовине насталих у току извештајног периода.</w:t>
      </w:r>
    </w:p>
    <w:p w14:paraId="0B8B344E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У </w:t>
      </w:r>
      <w:proofErr w:type="gramStart"/>
      <w:r w:rsidRPr="00006E66">
        <w:rPr>
          <w:rFonts w:ascii="Times New Roman" w:eastAsia="Verdana" w:hAnsi="Times New Roman" w:cs="Times New Roman"/>
          <w:sz w:val="24"/>
          <w:szCs w:val="24"/>
        </w:rPr>
        <w:t>Oбразац  ПР</w:t>
      </w:r>
      <w:proofErr w:type="gramEnd"/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– Биланс прихода и расхода уносе се подаци у колоне 4 и 5, према броју конта из колоне 2, односно према опису из колоне 3. </w:t>
      </w:r>
    </w:p>
    <w:p w14:paraId="76625333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Подаци се уносе са одговарајућих конта означених у колони 2, тако што се у колону 4 уносе подаци са одговарајућих конта из претходног извештајног периода, а у колону 5 подаци са конта из књиговодствене евиденције на крају извештајног периода за који се финансијски извештај саставља. </w:t>
      </w:r>
    </w:p>
    <w:p w14:paraId="351EB494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Резултат пословања исказује се на ознаци ОП број 2346 као вишак прихода и примања – буџетски суфицит и на ознаци ОП број 2347 као мањак прихода и примања – буџетски дефицит. Вишак прихода и примања, односно мањак прихода и примања утврђује се као разлика између остварених прихода и примања од продаје нефинансијске имовине извештајног периода који су исказани на ознаци ОП број 2001 и расхода и издатака за нефинансијску имовину извештајног периода који су исказани на ознаци ОП број 2131. </w:t>
      </w:r>
    </w:p>
    <w:p w14:paraId="76025EB7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На ознаци  ОП број 2357 исказује се вишак прихода и примања – суфицит, тако што се вишак прихода и примања (ОП број 2346), или мањак прихода и примања (ОП број 2347) коригује за износе на ознакама ОП број 2348 и ОП број 2354. </w:t>
      </w:r>
    </w:p>
    <w:p w14:paraId="53F88139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На ознаци ОП број 2358 исказује се мањак прихода и примања – дефицит, тако што се мањак прихода и примања (ОП број 2347) или вишак  прихода и примања (ОП број 2346), коригује за износе на ознаци ОП број 2348 и ОП број 2354. </w:t>
      </w:r>
    </w:p>
    <w:p w14:paraId="7F825386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На ознаци ОП број 2359 (ОП 2359 = ОП 2357) исказује се вишак прихода и примања – суфицит за пренос у наредни извештајни период, и то као део вишка прихода и примања наменски опредељен за наредни извештајни период (ОП број 2360) или/и нераспоређени део вишка прихода и примања за пренос у наредни извештајни период (ОП број 2361).  </w:t>
      </w:r>
    </w:p>
    <w:p w14:paraId="45CB4A7E" w14:textId="77777777" w:rsidR="00B81508" w:rsidRPr="00006E66" w:rsidRDefault="00155A43" w:rsidP="0094121C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На ознаци ОП број 2360 уноси се део вишка прихода и примања исказаног на конту 321121 – Вишак прихода и примања – суфицит, који је наменски опредељен за наредни извештајни период. Наведена средства су наплаћена у извештајном периоду, а наменски су опредељена за покриће расхода и издатака у наредном извештајном </w:t>
      </w:r>
      <w:r w:rsidRPr="00006E66">
        <w:rPr>
          <w:rFonts w:ascii="Times New Roman" w:eastAsia="Verdana" w:hAnsi="Times New Roman" w:cs="Times New Roman"/>
          <w:sz w:val="24"/>
          <w:szCs w:val="24"/>
        </w:rPr>
        <w:lastRenderedPageBreak/>
        <w:t xml:space="preserve">периоду (наплаћене школарине за целу школску годину, наменске донације, као и наменска средства за створене обавезе по основу набавке нефинансијске имовине у наредној години и сл.). </w:t>
      </w:r>
    </w:p>
    <w:p w14:paraId="22F5A5B5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На ознаци ОП број 2361 уноси се нераспоређени део вишка прихода и примања који се преноси у наредни извештајни период, а који је исказан на конту 321121 – Вишак прихода и примања – суфицит. </w:t>
      </w:r>
    </w:p>
    <w:p w14:paraId="44E2D3BD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b/>
          <w:sz w:val="24"/>
          <w:szCs w:val="24"/>
        </w:rPr>
        <w:t xml:space="preserve">3. Подношење финансијских извештаја </w:t>
      </w:r>
    </w:p>
    <w:p w14:paraId="4CE1E256" w14:textId="29DCE03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1</w:t>
      </w:r>
      <w:r w:rsidR="009E56C2">
        <w:rPr>
          <w:rFonts w:ascii="Times New Roman" w:eastAsia="Verdana" w:hAnsi="Times New Roman" w:cs="Times New Roman"/>
          <w:sz w:val="24"/>
          <w:szCs w:val="24"/>
          <w:lang w:val="sr-Cyrl-RS"/>
        </w:rPr>
        <w:t>2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. </w:t>
      </w:r>
    </w:p>
    <w:p w14:paraId="10B4CD92" w14:textId="4E3351A3" w:rsidR="00B81508" w:rsidRPr="00006E66" w:rsidRDefault="00666B34" w:rsidP="009D75A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Установа</w:t>
      </w:r>
      <w:r w:rsidR="0094121C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као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корисни</w:t>
      </w:r>
      <w:r w:rsidR="0094121C">
        <w:rPr>
          <w:rFonts w:ascii="Times New Roman" w:eastAsia="Verdana" w:hAnsi="Times New Roman" w:cs="Times New Roman"/>
          <w:sz w:val="24"/>
          <w:szCs w:val="24"/>
          <w:lang w:val="sr-Cyrl-RS"/>
        </w:rPr>
        <w:t>к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буџетских средстава  попуњене обрасце поднос</w:t>
      </w:r>
      <w:r w:rsidR="0094121C">
        <w:rPr>
          <w:rFonts w:ascii="Times New Roman" w:eastAsia="Verdana" w:hAnsi="Times New Roman" w:cs="Times New Roman"/>
          <w:sz w:val="24"/>
          <w:szCs w:val="24"/>
          <w:lang w:val="sr-Cyrl-RS"/>
        </w:rPr>
        <w:t>и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у електронској форми кроз информациони систем за подношење финансијских извештаја</w:t>
      </w:r>
      <w:r w:rsidR="0094121C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као и директном кориснику у штампаној форми.</w:t>
      </w:r>
      <w:r w:rsidR="00155A43" w:rsidRPr="00006E66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033F02BB" w14:textId="5DE8FB34" w:rsidR="00B81508" w:rsidRPr="00006E66" w:rsidRDefault="00155A43" w:rsidP="009D75A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Приступ информационом систему за подношење финансијских извештаја </w:t>
      </w:r>
      <w:r w:rsidR="00666B34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Установа </w:t>
      </w:r>
      <w:r w:rsidRPr="00006E66">
        <w:rPr>
          <w:rFonts w:ascii="Times New Roman" w:eastAsia="Verdana" w:hAnsi="Times New Roman" w:cs="Times New Roman"/>
          <w:sz w:val="24"/>
          <w:szCs w:val="24"/>
        </w:rPr>
        <w:t>остваруј</w:t>
      </w:r>
      <w:r w:rsidR="0094121C">
        <w:rPr>
          <w:rFonts w:ascii="Times New Roman" w:eastAsia="Verdana" w:hAnsi="Times New Roman" w:cs="Times New Roman"/>
          <w:sz w:val="24"/>
          <w:szCs w:val="24"/>
          <w:lang w:val="sr-Cyrl-RS"/>
        </w:rPr>
        <w:t>е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 уношењем идентификационих података у веб апликацију Управе за трезор, у складу са интерним техничким упутством.  </w:t>
      </w:r>
    </w:p>
    <w:p w14:paraId="23586540" w14:textId="3121286B" w:rsidR="00B81508" w:rsidRPr="00006E66" w:rsidRDefault="00155A43" w:rsidP="009D75A0">
      <w:pPr>
        <w:spacing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Потписивање финансијских извештаја се врши електронским потписом који је издат од овлашћеног сертификационог тела и којим се потврђује интегритет података и идентитет </w:t>
      </w:r>
      <w:r w:rsidR="00666B34">
        <w:rPr>
          <w:rFonts w:ascii="Times New Roman" w:eastAsia="Verdana" w:hAnsi="Times New Roman" w:cs="Times New Roman"/>
          <w:sz w:val="24"/>
          <w:szCs w:val="24"/>
          <w:lang w:val="sr-Cyrl-RS"/>
        </w:rPr>
        <w:t>Установе</w:t>
      </w: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. </w:t>
      </w:r>
    </w:p>
    <w:p w14:paraId="3DD9B917" w14:textId="77777777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III. ЗАВРШНЕ ОДРЕДБЕ</w:t>
      </w:r>
    </w:p>
    <w:p w14:paraId="18E81368" w14:textId="23450260" w:rsidR="00B81508" w:rsidRPr="00006E66" w:rsidRDefault="00155A43">
      <w:pPr>
        <w:spacing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>Члан 1</w:t>
      </w:r>
      <w:r w:rsidR="009E56C2">
        <w:rPr>
          <w:rFonts w:ascii="Times New Roman" w:eastAsia="Verdana" w:hAnsi="Times New Roman" w:cs="Times New Roman"/>
          <w:sz w:val="24"/>
          <w:szCs w:val="24"/>
          <w:lang w:val="sr-Cyrl-RS"/>
        </w:rPr>
        <w:t>3</w:t>
      </w:r>
      <w:r w:rsidRPr="00006E66">
        <w:rPr>
          <w:rFonts w:ascii="Times New Roman" w:eastAsia="Verdana" w:hAnsi="Times New Roman" w:cs="Times New Roman"/>
          <w:sz w:val="24"/>
          <w:szCs w:val="24"/>
        </w:rPr>
        <w:t>.</w:t>
      </w:r>
    </w:p>
    <w:p w14:paraId="08373F95" w14:textId="20EC94C2" w:rsidR="00B81508" w:rsidRPr="00B00238" w:rsidRDefault="00155A43" w:rsidP="00B00238">
      <w:pPr>
        <w:spacing w:line="210" w:lineRule="atLeast"/>
        <w:rPr>
          <w:rFonts w:ascii="Times New Roman" w:hAnsi="Times New Roman" w:cs="Times New Roman"/>
          <w:sz w:val="24"/>
          <w:szCs w:val="24"/>
          <w:lang w:val="sr-Cyrl-RS"/>
        </w:rPr>
      </w:pPr>
      <w:r w:rsidRPr="00006E66">
        <w:rPr>
          <w:rFonts w:ascii="Times New Roman" w:eastAsia="Verdana" w:hAnsi="Times New Roman" w:cs="Times New Roman"/>
          <w:sz w:val="24"/>
          <w:szCs w:val="24"/>
        </w:rPr>
        <w:t xml:space="preserve">Овај правилник ступа на снагу осмог дана од дана објављивања </w:t>
      </w:r>
      <w:r w:rsidR="009B1E30" w:rsidRPr="00006E66">
        <w:rPr>
          <w:rFonts w:ascii="Times New Roman" w:eastAsia="Verdana" w:hAnsi="Times New Roman" w:cs="Times New Roman"/>
          <w:sz w:val="24"/>
          <w:szCs w:val="24"/>
          <w:lang w:val="sr-Cyrl-RS"/>
        </w:rPr>
        <w:t>на огласној табли</w:t>
      </w:r>
      <w:r w:rsidRPr="00006E66">
        <w:rPr>
          <w:rFonts w:ascii="Times New Roman" w:eastAsia="Verdana" w:hAnsi="Times New Roman" w:cs="Times New Roman"/>
          <w:sz w:val="24"/>
          <w:szCs w:val="24"/>
        </w:rPr>
        <w:t>, а примењује се почев од припреме, састављања и подношења годишњих финансијских извештаја за 2025.</w:t>
      </w:r>
      <w:r w:rsidR="00B00238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gramStart"/>
      <w:r w:rsidR="00B00238">
        <w:rPr>
          <w:rFonts w:ascii="Times New Roman" w:eastAsia="Verdana" w:hAnsi="Times New Roman" w:cs="Times New Roman"/>
          <w:sz w:val="24"/>
          <w:szCs w:val="24"/>
        </w:rPr>
        <w:t>годину</w:t>
      </w:r>
      <w:proofErr w:type="gramEnd"/>
    </w:p>
    <w:p w14:paraId="31474D64" w14:textId="6DD01135" w:rsidR="009B1E30" w:rsidRPr="00B00238" w:rsidRDefault="00B00238" w:rsidP="00B00238">
      <w:pPr>
        <w:tabs>
          <w:tab w:val="left" w:pos="6840"/>
        </w:tabs>
        <w:spacing w:after="0" w:line="210" w:lineRule="atLeast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00238">
        <w:rPr>
          <w:rFonts w:ascii="Times New Roman" w:hAnsi="Times New Roman" w:cs="Times New Roman"/>
          <w:b/>
          <w:sz w:val="24"/>
          <w:szCs w:val="24"/>
          <w:lang w:val="sr-Cyrl-RS"/>
        </w:rPr>
        <w:t>Председник Школског одбора</w:t>
      </w:r>
    </w:p>
    <w:p w14:paraId="0E657A86" w14:textId="71232F07" w:rsidR="00B00238" w:rsidRDefault="00B00238" w:rsidP="00B00238">
      <w:pPr>
        <w:tabs>
          <w:tab w:val="left" w:pos="6840"/>
        </w:tabs>
        <w:spacing w:after="0" w:line="21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Милош Јоксимовић</w:t>
      </w:r>
    </w:p>
    <w:p w14:paraId="4337A2D3" w14:textId="08D6281F" w:rsidR="0094121C" w:rsidRDefault="0094121C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________________________</w:t>
      </w:r>
    </w:p>
    <w:p w14:paraId="6F874543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791C4B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3F33F3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BB8CECA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BE1E93C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BD7212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CDFD1F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746D45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90D631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7605BF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C7321A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D9CE62" w14:textId="77777777" w:rsidR="002C7EFB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CF75A0" w14:textId="77777777" w:rsidR="002C7EFB" w:rsidRPr="0094121C" w:rsidRDefault="002C7EFB" w:rsidP="00B00238">
      <w:pPr>
        <w:tabs>
          <w:tab w:val="left" w:pos="6840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8EEDC1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4B5F96D2" wp14:editId="2D29DF1D">
            <wp:extent cx="5000000" cy="35522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AAAAADAm+gEAAAAAYCxFBeZ4XurjAQAAAABJRU5ErkJggg==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43DF8A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3A6139CC" wp14:editId="3EF30DEB">
            <wp:extent cx="5000000" cy="35522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IiIiIiIiIiIqKNJdAfEREREREREREREdHGEuiPiIiIiIiIiIiIiGhjCfRHRERERERERERERLSxBPojIiIiIiIiIiIiItpYAv0REREREREREREREW0sgf6IiIiIiIiIiIiIiDaWQH9ERERERERERERERBtLoD8iIiIiIiIiIiIioo0l0B8RERERERERERER0cb+H2XcuAuG2kjjAAAAAElFTkSuQmCC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3AB45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0D69BCCD" wp14:editId="2C7CC271">
            <wp:extent cx="5000000" cy="35522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AAAAADAWALX+VTbKgssAAAAASUVORK5CYII=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2C64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493C24D8" wp14:editId="235E4A5D">
            <wp:extent cx="5000000" cy="35522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wAAAAASUVORK5CYII=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9C641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735787BB" wp14:editId="7FFF08BE">
            <wp:extent cx="5000000" cy="35522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ekQwAAAAASUVORK5CYII=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781DB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75FF4BF1" wp14:editId="5E11648B">
            <wp:extent cx="5000000" cy="355228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zH3q95AAAAAElFTkSuQmCC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D8B05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5C4B1C69" wp14:editId="488DC1E9">
            <wp:extent cx="5000000" cy="35522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8PcxVbG6Lx2wAAAABJRU5ErkJggg==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B1E33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0154D25A" wp14:editId="2E167DD8">
            <wp:extent cx="5000000" cy="355228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IiIiIiIiIiIiIDpZAf0REREREREREREREB0ugPyIiIiIiIiIiIiKigyXQHxERERERERERERHRwf4f2Wshk2cktlkAAAAASUVORK5CYII=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26D2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2FE69552" wp14:editId="3BFB4591">
            <wp:extent cx="5000000" cy="355228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mSaYhl8iYAAAAAElFTkSuQmCC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18CB1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31A8948B" wp14:editId="2B5777F5">
            <wp:extent cx="5000000" cy="355228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u4su827Dk8QAAAABJRU5ErkJggg==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F25E3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55A1B537" wp14:editId="37B1D633">
            <wp:extent cx="5000000" cy="355228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53vRo9iZa7AAAAAElFTkSuQmCC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D492A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3C73267D" wp14:editId="28985996">
            <wp:extent cx="5000000" cy="355228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3tOkIjRSRkAAAAAElFTkSuQmCC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7F9C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77B1909A" wp14:editId="72055E3A">
            <wp:extent cx="5000000" cy="355228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HYQwsy9NxAAAAAElFTkSuQmCC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87C16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52FCC1B1" wp14:editId="459F8F6C">
            <wp:extent cx="5000000" cy="355228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tB5+9sAAAAASUVORK5CYII=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D0793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154E0033" wp14:editId="6C6A4F75">
            <wp:extent cx="5000000" cy="355228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1Q0I3PBssNpAAAAAElFTkSuQmCC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852FE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45773EC7" wp14:editId="0AB03B21">
            <wp:extent cx="5000000" cy="355228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1OEbF+7pBSoAAAAASUVORK5CYII=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4AF47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25D90482" wp14:editId="118EA674">
            <wp:extent cx="5000000" cy="355228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AAAAADAWV0lEhN1UcGYAAAAASUVORK5CYII=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5268D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28945E99" wp14:editId="5EFDDEBC">
            <wp:extent cx="5000000" cy="355228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+CuqB72U+OnAAAAAElFTkSuQmCC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4B2A8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4C56B341" wp14:editId="3527A01A">
            <wp:extent cx="5000000" cy="355228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gliX9eRrmFAAAAABJRU5ErkJggg==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C327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4C35D6F8" wp14:editId="4884B38C">
            <wp:extent cx="5000000" cy="355228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A1dnzhCpzXAAAAAElFTkSuQmCC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5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98D35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25E8D854" wp14:editId="70BFD984">
            <wp:extent cx="5000000" cy="703771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+ZNFjkXeL5gAAAABJRU5ErkJggg==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ADC28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0B089657" wp14:editId="637C44F8">
            <wp:extent cx="5000000" cy="703771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aiaPo5ghKAAAAAElFTkSuQmCC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CC35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316ED53B" wp14:editId="03F70AEF">
            <wp:extent cx="5000000" cy="703771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6WzRwAAAABJRU5ErkJggg==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E1B00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376B25C7" wp14:editId="24950A8D">
            <wp:extent cx="5000000" cy="703771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pp6fRM+pQQAAAABJRU5ErkJggg==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8C5D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04C2931A" wp14:editId="3791F1AF">
            <wp:extent cx="5000000" cy="703771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7bh4cT9fvsAAAAASUVORK5CYII=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BC2EC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74F1AAFA" wp14:editId="763921F1">
            <wp:extent cx="5000000" cy="703771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c84HN7ZilvQAAAABJRU5ErkJggg==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1AA6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08D814C3" wp14:editId="64A13A34">
            <wp:extent cx="5000000" cy="703771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jZYuAAAAAElFTkSuQmCC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2327D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1842D408" wp14:editId="56CCE30A">
            <wp:extent cx="5000000" cy="7037718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QRAEQRAEQRAEQRC0Z2LOexAEQRAEQRAEQRAE7ZpQfgRBEARBEARBEARB0K4J5UcQBEEQBEEQBEEQBO2aUH4EQRAEQRAEQRAEQdCuCeVHEARBEARBEARBEATtmlB+BEEQBEEQBEEQBEHQrgnlRxAEQRAEQRAEQRAE7ZpQfgRBEARBEARBEARB0K4J5UcQBEEQBEEQBEEQBO2aUH4EQRAEQRAEQRAEQdCuCeVHEARBEARBEARBEATtmlB+BEEQBEEQBEEQBEHQrgnlRxAEQRAEQRAEQRAE7ZpQfgRBEARBEARBEARB0K4J5UcQBEEQBEEQBEEQBO2aUH4EQRAEQRAEQRAEQdCuCeVHEARBEARBEARBEATtmv8Pzn9HkH4eAQ0AAAAASUVORK5CYII=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CACA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0D2ECFF3" wp14:editId="57EC6488">
            <wp:extent cx="5000000" cy="703771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AgNKEHwAAAEBpwg8AAACgNOEHAAAAUJrwAwAAAChN+AEAAACUJvwAAAAAShN+AAAAAKUJPwAAAIDShB8AAABAacIPAAAAoDThBwAAAFCa8AMAAAAoTfgBAAAAlCb8AAAAAEoTfgAAAAClCT8AAACA0v4PtxPkC8B3zxUAAAAASUVORK5CYII=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B780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22D9ABA5" wp14:editId="139AA48C">
            <wp:extent cx="5000000" cy="703771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7FBdtgSroAAAAASUVORK5CYII=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7A949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2EA74CE7" wp14:editId="633DFCAD">
            <wp:extent cx="5000000" cy="7037718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Xat5A8lOxQAAAAASUVORK5CYII=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3714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5C1372FB" wp14:editId="712EE3DE">
            <wp:extent cx="5000000" cy="703771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AAAAWJMfAAAAwJr8AAAAANbkBwAAALAmPwAAAIA1+QEAAACsBfamWfQUlpnWAAAAAElFTkSuQmCC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BC0ED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2EE8AFF0" wp14:editId="2FB2606E">
            <wp:extent cx="5000000" cy="703771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wb2v3LW1AAAAAElFTkSuQmCC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50296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692A386C" wp14:editId="13C3669F">
            <wp:extent cx="5000000" cy="703771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gAAAABJRU5ErkJggg==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1210F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4A449E01" wp14:editId="456E67B3">
            <wp:extent cx="5000000" cy="703771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9023ekmWz0hAAAAAElFTkSuQmCC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E4439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378D27FA" wp14:editId="3D437584">
            <wp:extent cx="5000000" cy="7037718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V2R5kDUR8AAAAASUVORK5CYII=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BF747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60001EAB" wp14:editId="7FA57E87">
            <wp:extent cx="5000000" cy="7037718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AAAAAElFTkSuQmCC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A3DF4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0AF3FD47" wp14:editId="4D484690">
            <wp:extent cx="5000000" cy="703771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FP3bqZ6KjLwAAAABJRU5ErkJggg==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7877D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68C7DDDF" wp14:editId="5697B2DD">
            <wp:extent cx="5000000" cy="7037718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8hEMZlcv+9VgAAAABJRU5ErkJggg==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5BC0B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14B5B5FC" wp14:editId="1A133507">
            <wp:extent cx="5000000" cy="703771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+FW2hniYTirQAAAABJRU5ErkJggg==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F8F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6DE61506" wp14:editId="2EC16BF6">
            <wp:extent cx="5000000" cy="703771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tzB90MEp4AAAAASUVORK5CYII=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A14A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4D577BAE" wp14:editId="3030AEB5">
            <wp:extent cx="5000000" cy="7037718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+u918nz8SM1QAAAABJRU5ErkJggg==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77F2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56AB3031" wp14:editId="0064AADC">
            <wp:extent cx="5000000" cy="7037718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AAAASUVORK5CYII=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46ABC" w14:textId="77777777" w:rsidR="00B81508" w:rsidRPr="00006E66" w:rsidRDefault="00155A43">
      <w:pPr>
        <w:spacing w:line="210" w:lineRule="atLeast"/>
        <w:rPr>
          <w:rFonts w:ascii="Times New Roman" w:hAnsi="Times New Roman" w:cs="Times New Roman"/>
          <w:sz w:val="24"/>
          <w:szCs w:val="24"/>
        </w:rPr>
      </w:pPr>
      <w:r w:rsidRPr="00006E66">
        <w:rPr>
          <w:rFonts w:ascii="Times New Roman" w:eastAsia="Verdana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30FB7258" wp14:editId="395E6B31">
            <wp:extent cx="5000000" cy="7037718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1+e6wVw9gAAAAASUVORK5CYII=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508" w:rsidRPr="00006E66" w:rsidSect="002C7EFB">
      <w:pgSz w:w="11906" w:h="16838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08"/>
    <w:rsid w:val="00006E66"/>
    <w:rsid w:val="000B3D1E"/>
    <w:rsid w:val="00155A43"/>
    <w:rsid w:val="0022524F"/>
    <w:rsid w:val="002C7EFB"/>
    <w:rsid w:val="002D6B8A"/>
    <w:rsid w:val="00355E70"/>
    <w:rsid w:val="005D65DF"/>
    <w:rsid w:val="00666B34"/>
    <w:rsid w:val="006805E6"/>
    <w:rsid w:val="00725F51"/>
    <w:rsid w:val="0094121C"/>
    <w:rsid w:val="009B1E30"/>
    <w:rsid w:val="009D75A0"/>
    <w:rsid w:val="009E56C2"/>
    <w:rsid w:val="00A540A5"/>
    <w:rsid w:val="00B00238"/>
    <w:rsid w:val="00B81508"/>
    <w:rsid w:val="00BD5E22"/>
    <w:rsid w:val="00CF755A"/>
    <w:rsid w:val="00D12125"/>
    <w:rsid w:val="00E960F0"/>
    <w:rsid w:val="00EE04AC"/>
    <w:rsid w:val="00F2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A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bmp"/><Relationship Id="rId18" Type="http://schemas.openxmlformats.org/officeDocument/2006/relationships/image" Target="media/image14.bmp"/><Relationship Id="rId26" Type="http://schemas.openxmlformats.org/officeDocument/2006/relationships/image" Target="media/image22.bmp"/><Relationship Id="rId39" Type="http://schemas.openxmlformats.org/officeDocument/2006/relationships/image" Target="media/image35.bmp"/><Relationship Id="rId3" Type="http://schemas.openxmlformats.org/officeDocument/2006/relationships/settings" Target="settings.xml"/><Relationship Id="rId21" Type="http://schemas.openxmlformats.org/officeDocument/2006/relationships/image" Target="media/image17.bmp"/><Relationship Id="rId34" Type="http://schemas.openxmlformats.org/officeDocument/2006/relationships/image" Target="media/image30.bmp"/><Relationship Id="rId42" Type="http://schemas.openxmlformats.org/officeDocument/2006/relationships/image" Target="media/image38.bmp"/><Relationship Id="rId47" Type="http://schemas.openxmlformats.org/officeDocument/2006/relationships/image" Target="media/image43.bmp"/><Relationship Id="rId50" Type="http://schemas.openxmlformats.org/officeDocument/2006/relationships/fontTable" Target="fontTable.xml"/><Relationship Id="rId7" Type="http://schemas.openxmlformats.org/officeDocument/2006/relationships/image" Target="media/image3.bmp"/><Relationship Id="rId12" Type="http://schemas.openxmlformats.org/officeDocument/2006/relationships/image" Target="media/image8.bmp"/><Relationship Id="rId17" Type="http://schemas.openxmlformats.org/officeDocument/2006/relationships/image" Target="media/image13.bmp"/><Relationship Id="rId25" Type="http://schemas.openxmlformats.org/officeDocument/2006/relationships/image" Target="media/image21.bmp"/><Relationship Id="rId33" Type="http://schemas.openxmlformats.org/officeDocument/2006/relationships/image" Target="media/image29.bmp"/><Relationship Id="rId38" Type="http://schemas.openxmlformats.org/officeDocument/2006/relationships/image" Target="media/image34.bmp"/><Relationship Id="rId46" Type="http://schemas.openxmlformats.org/officeDocument/2006/relationships/image" Target="media/image42.bmp"/><Relationship Id="rId2" Type="http://schemas.microsoft.com/office/2007/relationships/stylesWithEffects" Target="stylesWithEffects.xml"/><Relationship Id="rId16" Type="http://schemas.openxmlformats.org/officeDocument/2006/relationships/image" Target="media/image12.bmp"/><Relationship Id="rId20" Type="http://schemas.openxmlformats.org/officeDocument/2006/relationships/image" Target="media/image16.bmp"/><Relationship Id="rId29" Type="http://schemas.openxmlformats.org/officeDocument/2006/relationships/image" Target="media/image25.bmp"/><Relationship Id="rId41" Type="http://schemas.openxmlformats.org/officeDocument/2006/relationships/image" Target="media/image37.bmp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11" Type="http://schemas.openxmlformats.org/officeDocument/2006/relationships/image" Target="media/image7.bmp"/><Relationship Id="rId24" Type="http://schemas.openxmlformats.org/officeDocument/2006/relationships/image" Target="media/image20.bmp"/><Relationship Id="rId32" Type="http://schemas.openxmlformats.org/officeDocument/2006/relationships/image" Target="media/image28.bmp"/><Relationship Id="rId37" Type="http://schemas.openxmlformats.org/officeDocument/2006/relationships/image" Target="media/image33.bmp"/><Relationship Id="rId40" Type="http://schemas.openxmlformats.org/officeDocument/2006/relationships/image" Target="media/image36.bmp"/><Relationship Id="rId45" Type="http://schemas.openxmlformats.org/officeDocument/2006/relationships/image" Target="media/image41.bmp"/><Relationship Id="rId5" Type="http://schemas.openxmlformats.org/officeDocument/2006/relationships/image" Target="media/image1.png"/><Relationship Id="rId15" Type="http://schemas.openxmlformats.org/officeDocument/2006/relationships/image" Target="media/image11.bmp"/><Relationship Id="rId23" Type="http://schemas.openxmlformats.org/officeDocument/2006/relationships/image" Target="media/image19.bmp"/><Relationship Id="rId28" Type="http://schemas.openxmlformats.org/officeDocument/2006/relationships/image" Target="media/image24.bmp"/><Relationship Id="rId36" Type="http://schemas.openxmlformats.org/officeDocument/2006/relationships/image" Target="media/image32.bmp"/><Relationship Id="rId49" Type="http://schemas.openxmlformats.org/officeDocument/2006/relationships/image" Target="media/image45.bmp"/><Relationship Id="rId10" Type="http://schemas.openxmlformats.org/officeDocument/2006/relationships/image" Target="media/image6.bmp"/><Relationship Id="rId19" Type="http://schemas.openxmlformats.org/officeDocument/2006/relationships/image" Target="media/image15.bmp"/><Relationship Id="rId31" Type="http://schemas.openxmlformats.org/officeDocument/2006/relationships/image" Target="media/image27.bmp"/><Relationship Id="rId44" Type="http://schemas.openxmlformats.org/officeDocument/2006/relationships/image" Target="media/image40.bmp"/><Relationship Id="rId4" Type="http://schemas.openxmlformats.org/officeDocument/2006/relationships/webSettings" Target="webSettings.xml"/><Relationship Id="rId9" Type="http://schemas.openxmlformats.org/officeDocument/2006/relationships/image" Target="media/image5.bmp"/><Relationship Id="rId14" Type="http://schemas.openxmlformats.org/officeDocument/2006/relationships/image" Target="media/image10.bmp"/><Relationship Id="rId22" Type="http://schemas.openxmlformats.org/officeDocument/2006/relationships/image" Target="media/image18.bmp"/><Relationship Id="rId27" Type="http://schemas.openxmlformats.org/officeDocument/2006/relationships/image" Target="media/image23.bmp"/><Relationship Id="rId30" Type="http://schemas.openxmlformats.org/officeDocument/2006/relationships/image" Target="media/image26.bmp"/><Relationship Id="rId35" Type="http://schemas.openxmlformats.org/officeDocument/2006/relationships/image" Target="media/image31.bmp"/><Relationship Id="rId43" Type="http://schemas.openxmlformats.org/officeDocument/2006/relationships/image" Target="media/image39.bmp"/><Relationship Id="rId48" Type="http://schemas.openxmlformats.org/officeDocument/2006/relationships/image" Target="media/image44.bmp"/><Relationship Id="rId8" Type="http://schemas.openxmlformats.org/officeDocument/2006/relationships/image" Target="media/image4.bmp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42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severovci@gmail.com</cp:lastModifiedBy>
  <cp:revision>26</cp:revision>
  <cp:lastPrinted>2026-03-19T09:20:00Z</cp:lastPrinted>
  <dcterms:created xsi:type="dcterms:W3CDTF">2025-11-04T15:17:00Z</dcterms:created>
  <dcterms:modified xsi:type="dcterms:W3CDTF">2026-03-19T09:20:00Z</dcterms:modified>
</cp:coreProperties>
</file>